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E" w:rsidRPr="00B1416E" w:rsidRDefault="00B1416E" w:rsidP="00B1416E">
      <w:pPr>
        <w:rPr>
          <w:rFonts w:ascii="Times" w:hAnsi="Times" w:cs="Times New Roman"/>
          <w:color w:val="000000" w:themeColor="text1"/>
        </w:rPr>
      </w:pPr>
      <w:r w:rsidRPr="00B1416E">
        <w:rPr>
          <w:rFonts w:ascii="Arial" w:hAnsi="Arial" w:cs="Times New Roman"/>
          <w:b/>
          <w:bCs/>
          <w:color w:val="000000" w:themeColor="text1"/>
        </w:rPr>
        <w:t>An overview of the GCOS Reference Upper-Air Network (GRUAN)</w:t>
      </w:r>
    </w:p>
    <w:p w:rsidR="00CA0375" w:rsidRDefault="00CA0375" w:rsidP="00B1416E">
      <w:pPr>
        <w:rPr>
          <w:rFonts w:ascii="Arial" w:hAnsi="Arial" w:cs="Times New Roman"/>
          <w:b/>
          <w:color w:val="000000" w:themeColor="text1"/>
        </w:rPr>
      </w:pPr>
    </w:p>
    <w:p w:rsidR="00B1416E" w:rsidRPr="00E57974" w:rsidRDefault="00B1416E" w:rsidP="00B1416E">
      <w:pPr>
        <w:rPr>
          <w:rFonts w:ascii="Times" w:hAnsi="Times" w:cs="Times New Roman"/>
          <w:b/>
          <w:color w:val="000000" w:themeColor="text1"/>
          <w:lang w:val="de-DE"/>
        </w:rPr>
      </w:pPr>
      <w:r w:rsidRPr="00E57974">
        <w:rPr>
          <w:rFonts w:ascii="Arial" w:hAnsi="Arial" w:cs="Times New Roman"/>
          <w:b/>
          <w:color w:val="000000" w:themeColor="text1"/>
          <w:lang w:val="de-DE"/>
        </w:rPr>
        <w:t>R.J. Dirksen</w:t>
      </w:r>
      <w:r w:rsidRPr="00E57974">
        <w:rPr>
          <w:rFonts w:ascii="Arial" w:hAnsi="Arial" w:cs="Times New Roman"/>
          <w:b/>
          <w:color w:val="000000" w:themeColor="text1"/>
          <w:vertAlign w:val="superscript"/>
          <w:lang w:val="de-DE"/>
        </w:rPr>
        <w:t>1</w:t>
      </w:r>
      <w:r w:rsidRPr="00E57974">
        <w:rPr>
          <w:rFonts w:ascii="Arial" w:hAnsi="Arial" w:cs="Times New Roman"/>
          <w:b/>
          <w:color w:val="000000" w:themeColor="text1"/>
          <w:lang w:val="de-DE"/>
        </w:rPr>
        <w:t>, P.W. Thorne</w:t>
      </w:r>
      <w:r w:rsidRPr="00E57974">
        <w:rPr>
          <w:rFonts w:ascii="Arial" w:hAnsi="Arial" w:cs="Times New Roman"/>
          <w:b/>
          <w:color w:val="000000" w:themeColor="text1"/>
          <w:vertAlign w:val="superscript"/>
          <w:lang w:val="de-DE"/>
        </w:rPr>
        <w:t>2</w:t>
      </w:r>
      <w:r w:rsidRPr="00E57974">
        <w:rPr>
          <w:rFonts w:ascii="Arial" w:hAnsi="Arial" w:cs="Times New Roman"/>
          <w:b/>
          <w:color w:val="000000" w:themeColor="text1"/>
          <w:lang w:val="de-DE"/>
        </w:rPr>
        <w:t>, G.E. Bodeker</w:t>
      </w:r>
      <w:r w:rsidRPr="00E57974">
        <w:rPr>
          <w:rFonts w:ascii="Arial" w:hAnsi="Arial" w:cs="Times New Roman"/>
          <w:b/>
          <w:color w:val="000000" w:themeColor="text1"/>
          <w:vertAlign w:val="superscript"/>
          <w:lang w:val="de-DE"/>
        </w:rPr>
        <w:t>3</w:t>
      </w:r>
      <w:r w:rsidRPr="00E57974">
        <w:rPr>
          <w:rFonts w:ascii="Arial" w:hAnsi="Arial" w:cs="Times New Roman"/>
          <w:b/>
          <w:color w:val="000000" w:themeColor="text1"/>
          <w:lang w:val="de-DE"/>
        </w:rPr>
        <w:t>, M. Sommer</w:t>
      </w:r>
      <w:r w:rsidRPr="00E57974">
        <w:rPr>
          <w:rFonts w:ascii="Arial" w:hAnsi="Arial" w:cs="Times New Roman"/>
          <w:b/>
          <w:color w:val="000000" w:themeColor="text1"/>
          <w:vertAlign w:val="superscript"/>
          <w:lang w:val="de-DE"/>
        </w:rPr>
        <w:t>1</w:t>
      </w:r>
    </w:p>
    <w:p w:rsidR="00B1416E" w:rsidRPr="00E57974" w:rsidRDefault="00B1416E" w:rsidP="00B1416E">
      <w:pPr>
        <w:rPr>
          <w:rFonts w:ascii="Arial" w:hAnsi="Arial" w:cs="Times New Roman"/>
          <w:i/>
          <w:color w:val="000000" w:themeColor="text1"/>
          <w:lang w:val="de-DE"/>
        </w:rPr>
      </w:pPr>
      <w:r w:rsidRPr="00E57974">
        <w:rPr>
          <w:rFonts w:ascii="Arial" w:hAnsi="Arial" w:cs="Times New Roman"/>
          <w:i/>
          <w:color w:val="000000" w:themeColor="text1"/>
          <w:vertAlign w:val="superscript"/>
          <w:lang w:val="de-DE"/>
        </w:rPr>
        <w:t>1</w:t>
      </w:r>
      <w:r w:rsidRPr="00E57974">
        <w:rPr>
          <w:rFonts w:ascii="Arial" w:hAnsi="Arial" w:cs="Times New Roman"/>
          <w:i/>
          <w:color w:val="000000" w:themeColor="text1"/>
          <w:lang w:val="de-DE"/>
        </w:rPr>
        <w:t>GRUAN Lead Centre, Deutscher Wetterdienst, Lindenberg, Germany</w:t>
      </w:r>
    </w:p>
    <w:p w:rsidR="00B1416E" w:rsidRPr="00CA0375" w:rsidRDefault="00B1416E" w:rsidP="00B1416E">
      <w:pPr>
        <w:rPr>
          <w:rFonts w:ascii="Arial" w:hAnsi="Arial" w:cs="Times New Roman"/>
          <w:i/>
          <w:color w:val="000000" w:themeColor="text1"/>
        </w:rPr>
      </w:pPr>
      <w:r w:rsidRPr="00CA0375">
        <w:rPr>
          <w:rFonts w:ascii="Arial" w:hAnsi="Arial" w:cs="Times New Roman"/>
          <w:i/>
          <w:color w:val="000000" w:themeColor="text1"/>
          <w:vertAlign w:val="superscript"/>
        </w:rPr>
        <w:t>2</w:t>
      </w:r>
      <w:r w:rsidRPr="00CA0375">
        <w:rPr>
          <w:rFonts w:ascii="Arial" w:hAnsi="Arial" w:cs="Times New Roman"/>
          <w:i/>
          <w:color w:val="000000" w:themeColor="text1"/>
        </w:rPr>
        <w:t xml:space="preserve">Maynooth University, Departments of Geography, </w:t>
      </w:r>
      <w:proofErr w:type="spellStart"/>
      <w:r w:rsidRPr="00CA0375">
        <w:rPr>
          <w:rFonts w:ascii="Arial" w:hAnsi="Arial" w:cs="Times New Roman"/>
          <w:i/>
          <w:color w:val="000000" w:themeColor="text1"/>
        </w:rPr>
        <w:t>Maynooth</w:t>
      </w:r>
      <w:proofErr w:type="spellEnd"/>
      <w:r w:rsidRPr="00CA0375">
        <w:rPr>
          <w:rFonts w:ascii="Arial" w:hAnsi="Arial" w:cs="Times New Roman"/>
          <w:i/>
          <w:color w:val="000000" w:themeColor="text1"/>
        </w:rPr>
        <w:t>, Ireland</w:t>
      </w:r>
    </w:p>
    <w:p w:rsidR="00B1416E" w:rsidRPr="00CA0375" w:rsidRDefault="00B1416E" w:rsidP="00B1416E">
      <w:pPr>
        <w:rPr>
          <w:rFonts w:ascii="Arial" w:hAnsi="Arial" w:cs="Times New Roman"/>
          <w:i/>
          <w:color w:val="000000" w:themeColor="text1"/>
        </w:rPr>
      </w:pPr>
      <w:r w:rsidRPr="00CA0375">
        <w:rPr>
          <w:rFonts w:ascii="Arial" w:hAnsi="Arial" w:cs="Times New Roman"/>
          <w:i/>
          <w:color w:val="000000" w:themeColor="text1"/>
          <w:vertAlign w:val="superscript"/>
        </w:rPr>
        <w:t>3</w:t>
      </w:r>
      <w:r w:rsidRPr="00CA0375">
        <w:rPr>
          <w:rFonts w:ascii="Arial" w:hAnsi="Arial" w:cs="Times New Roman"/>
          <w:i/>
          <w:color w:val="000000" w:themeColor="text1"/>
        </w:rPr>
        <w:t>Bodeker Scientific, Alexandra, New Zealand</w:t>
      </w:r>
    </w:p>
    <w:p w:rsidR="00B1416E" w:rsidRPr="00B1416E" w:rsidRDefault="00B1416E" w:rsidP="00B1416E">
      <w:pPr>
        <w:rPr>
          <w:rFonts w:ascii="Times" w:eastAsia="Times New Roman" w:hAnsi="Times" w:cs="Times New Roman"/>
          <w:color w:val="000000" w:themeColor="text1"/>
        </w:rPr>
      </w:pPr>
    </w:p>
    <w:p w:rsidR="00B1416E" w:rsidRPr="00B1416E" w:rsidRDefault="00B1416E" w:rsidP="00B1416E">
      <w:pPr>
        <w:rPr>
          <w:rFonts w:ascii="Times" w:hAnsi="Times" w:cs="Times New Roman"/>
          <w:color w:val="000000" w:themeColor="text1"/>
        </w:rPr>
      </w:pPr>
      <w:r w:rsidRPr="00B1416E">
        <w:rPr>
          <w:rFonts w:ascii="Arial" w:hAnsi="Arial" w:cs="Times New Roman"/>
          <w:color w:val="000000" w:themeColor="text1"/>
        </w:rPr>
        <w:t>Measurements of primary state variables of the troposphere and stratosphere (pr</w:t>
      </w:r>
      <w:r w:rsidR="00CA0375">
        <w:rPr>
          <w:rFonts w:ascii="Arial" w:hAnsi="Arial" w:cs="Times New Roman"/>
          <w:color w:val="000000" w:themeColor="text1"/>
        </w:rPr>
        <w:t>imarily temperature, water vapo</w:t>
      </w:r>
      <w:bookmarkStart w:id="0" w:name="_GoBack"/>
      <w:bookmarkEnd w:id="0"/>
      <w:r w:rsidRPr="00B1416E">
        <w:rPr>
          <w:rFonts w:ascii="Arial" w:hAnsi="Arial" w:cs="Times New Roman"/>
          <w:color w:val="000000" w:themeColor="text1"/>
        </w:rPr>
        <w:t xml:space="preserve">r and pressure) are typically made to provide the input required by numerical weather prediction models. These same measurements then also constitute the primary source for meteorological reanalysis and climate analyses. The balloon-borne, ground-based and satellite-based systems used to make these measurements often undergo changes in instrumentation, data processing methods, retrieval techniques and calibration. These changes are often poorly documented and very are measurement series reprocessed to ensure long-term homogeneity of the climate data record. Such unphysical discontinuities in measurement data can lead to the deterioration of the quality of meteorological </w:t>
      </w:r>
      <w:proofErr w:type="spellStart"/>
      <w:r w:rsidRPr="00B1416E">
        <w:rPr>
          <w:rFonts w:ascii="Arial" w:hAnsi="Arial" w:cs="Times New Roman"/>
          <w:color w:val="000000" w:themeColor="text1"/>
        </w:rPr>
        <w:t>reanalyses</w:t>
      </w:r>
      <w:proofErr w:type="spellEnd"/>
      <w:r w:rsidRPr="00B1416E">
        <w:rPr>
          <w:rFonts w:ascii="Arial" w:hAnsi="Arial" w:cs="Times New Roman"/>
          <w:color w:val="000000" w:themeColor="text1"/>
        </w:rPr>
        <w:t>. To address this specific d</w:t>
      </w:r>
      <w:r>
        <w:rPr>
          <w:rFonts w:ascii="Arial" w:hAnsi="Arial" w:cs="Times New Roman"/>
          <w:color w:val="000000" w:themeColor="text1"/>
        </w:rPr>
        <w:t>eficiency of the global climate-</w:t>
      </w:r>
      <w:r w:rsidRPr="00B1416E">
        <w:rPr>
          <w:rFonts w:ascii="Arial" w:hAnsi="Arial" w:cs="Times New Roman"/>
          <w:color w:val="000000" w:themeColor="text1"/>
        </w:rPr>
        <w:t>monitoring network, WMO and GCOS called for the establishment of a new state-of-the-art global network of high quality measurements of essential climate variables in the upper atmosphere. The establishment of GRUAN (GCOS Reference Upper-Air Network) has now been underway for several years and sites are providing reference quality measurements that adhere to GRUAN operating protocols.</w:t>
      </w:r>
    </w:p>
    <w:p w:rsidR="00B1416E" w:rsidRPr="00B1416E" w:rsidRDefault="00B1416E" w:rsidP="00B1416E">
      <w:pPr>
        <w:rPr>
          <w:rFonts w:ascii="Times" w:eastAsia="Times New Roman" w:hAnsi="Times" w:cs="Times New Roman"/>
          <w:color w:val="000000" w:themeColor="text1"/>
        </w:rPr>
      </w:pPr>
    </w:p>
    <w:p w:rsidR="00B1416E" w:rsidRPr="00B1416E" w:rsidRDefault="00B1416E" w:rsidP="00B1416E">
      <w:pPr>
        <w:rPr>
          <w:rFonts w:ascii="Times" w:hAnsi="Times" w:cs="Times New Roman"/>
          <w:color w:val="000000" w:themeColor="text1"/>
        </w:rPr>
      </w:pPr>
      <w:r w:rsidRPr="00B1416E">
        <w:rPr>
          <w:rFonts w:ascii="Arial" w:hAnsi="Arial" w:cs="Times New Roman"/>
          <w:color w:val="000000" w:themeColor="text1"/>
        </w:rPr>
        <w:t xml:space="preserve">This presentation will provide an overview of the achievements of GRUAN to date, including: </w:t>
      </w:r>
    </w:p>
    <w:p w:rsidR="00B1416E" w:rsidRPr="00B1416E" w:rsidRDefault="00B1416E" w:rsidP="00B1416E">
      <w:pPr>
        <w:pStyle w:val="ListParagraph"/>
        <w:numPr>
          <w:ilvl w:val="0"/>
          <w:numId w:val="1"/>
        </w:numPr>
        <w:rPr>
          <w:rFonts w:ascii="Times" w:hAnsi="Times" w:cs="Times New Roman"/>
          <w:color w:val="000000" w:themeColor="text1"/>
        </w:rPr>
      </w:pPr>
      <w:r w:rsidRPr="00B1416E">
        <w:rPr>
          <w:rFonts w:ascii="Arial" w:hAnsi="Arial" w:cs="Times New Roman"/>
          <w:color w:val="000000" w:themeColor="text1"/>
        </w:rPr>
        <w:t>protocols that have been established to ensure that measurements are of reference quality</w:t>
      </w:r>
    </w:p>
    <w:p w:rsidR="00B1416E" w:rsidRPr="00B1416E" w:rsidRDefault="00B1416E" w:rsidP="00B1416E">
      <w:pPr>
        <w:pStyle w:val="ListParagraph"/>
        <w:numPr>
          <w:ilvl w:val="0"/>
          <w:numId w:val="1"/>
        </w:numPr>
        <w:rPr>
          <w:rFonts w:ascii="Times" w:hAnsi="Times" w:cs="Times New Roman"/>
          <w:color w:val="000000" w:themeColor="text1"/>
        </w:rPr>
      </w:pPr>
      <w:r w:rsidRPr="00B1416E">
        <w:rPr>
          <w:rFonts w:ascii="Arial" w:hAnsi="Arial" w:cs="Times New Roman"/>
          <w:color w:val="000000" w:themeColor="text1"/>
        </w:rPr>
        <w:t xml:space="preserve">what measurement systems are and will be operating at GRUAN sites </w:t>
      </w:r>
    </w:p>
    <w:p w:rsidR="00B1416E" w:rsidRPr="00B1416E" w:rsidRDefault="00B1416E" w:rsidP="00B1416E">
      <w:pPr>
        <w:pStyle w:val="ListParagraph"/>
        <w:numPr>
          <w:ilvl w:val="0"/>
          <w:numId w:val="1"/>
        </w:numPr>
        <w:rPr>
          <w:rFonts w:ascii="Times" w:hAnsi="Times" w:cs="Times New Roman"/>
          <w:color w:val="000000" w:themeColor="text1"/>
        </w:rPr>
      </w:pPr>
      <w:r w:rsidRPr="00B1416E">
        <w:rPr>
          <w:rFonts w:ascii="Arial" w:hAnsi="Arial" w:cs="Times New Roman"/>
          <w:color w:val="000000" w:themeColor="text1"/>
        </w:rPr>
        <w:t xml:space="preserve">what data products are expected to flow from those systems </w:t>
      </w:r>
    </w:p>
    <w:p w:rsidR="00B1416E" w:rsidRPr="00B1416E" w:rsidRDefault="00B1416E" w:rsidP="00B1416E">
      <w:pPr>
        <w:pStyle w:val="ListParagraph"/>
        <w:numPr>
          <w:ilvl w:val="0"/>
          <w:numId w:val="1"/>
        </w:numPr>
        <w:rPr>
          <w:rFonts w:ascii="Times" w:hAnsi="Times" w:cs="Times New Roman"/>
          <w:color w:val="000000" w:themeColor="text1"/>
        </w:rPr>
      </w:pPr>
      <w:r w:rsidRPr="00B1416E">
        <w:rPr>
          <w:rFonts w:ascii="Arial" w:hAnsi="Arial" w:cs="Times New Roman"/>
          <w:color w:val="000000" w:themeColor="text1"/>
        </w:rPr>
        <w:t>an overview of data currently flowing from GRUAN sites</w:t>
      </w:r>
    </w:p>
    <w:p w:rsidR="00B1416E" w:rsidRPr="00B1416E" w:rsidRDefault="00B1416E" w:rsidP="00B1416E">
      <w:pPr>
        <w:pStyle w:val="ListParagraph"/>
        <w:numPr>
          <w:ilvl w:val="0"/>
          <w:numId w:val="1"/>
        </w:numPr>
        <w:rPr>
          <w:rFonts w:ascii="Times" w:hAnsi="Times" w:cs="Times New Roman"/>
          <w:color w:val="000000" w:themeColor="text1"/>
        </w:rPr>
      </w:pPr>
      <w:r w:rsidRPr="00B1416E">
        <w:rPr>
          <w:rFonts w:ascii="Arial" w:hAnsi="Arial" w:cs="Times New Roman"/>
          <w:color w:val="000000" w:themeColor="text1"/>
        </w:rPr>
        <w:t>technical advancements within GRUAN to meet the needs of users of GRUAN data products</w:t>
      </w:r>
    </w:p>
    <w:p w:rsidR="00B1416E" w:rsidRPr="00B1416E" w:rsidRDefault="00B1416E" w:rsidP="00B1416E">
      <w:pPr>
        <w:rPr>
          <w:rFonts w:ascii="Times" w:eastAsia="Times New Roman" w:hAnsi="Times" w:cs="Times New Roman"/>
          <w:color w:val="000000" w:themeColor="text1"/>
        </w:rPr>
      </w:pPr>
    </w:p>
    <w:p w:rsidR="00B1416E" w:rsidRPr="00B1416E" w:rsidRDefault="00B1416E" w:rsidP="00B1416E">
      <w:pPr>
        <w:rPr>
          <w:rFonts w:ascii="Times" w:hAnsi="Times" w:cs="Times New Roman"/>
          <w:color w:val="000000" w:themeColor="text1"/>
        </w:rPr>
      </w:pPr>
      <w:r w:rsidRPr="00B1416E">
        <w:rPr>
          <w:rFonts w:ascii="Arial" w:hAnsi="Arial" w:cs="Times New Roman"/>
          <w:color w:val="000000" w:themeColor="text1"/>
        </w:rPr>
        <w:t>GRUAN's goal is not only to produce long-term, carefully calibrated measurements with well-defined measurement uncertainties, but to also produce high-</w:t>
      </w:r>
      <w:r>
        <w:rPr>
          <w:rFonts w:ascii="Arial" w:hAnsi="Arial" w:cs="Times New Roman"/>
          <w:color w:val="000000" w:themeColor="text1"/>
        </w:rPr>
        <w:t>quality data suitable for focus</w:t>
      </w:r>
      <w:r w:rsidRPr="00B1416E">
        <w:rPr>
          <w:rFonts w:ascii="Arial" w:hAnsi="Arial" w:cs="Times New Roman"/>
          <w:color w:val="000000" w:themeColor="text1"/>
        </w:rPr>
        <w:t>ed process studies. How GRUAN balances operational and research goals will be included in the presentation, as well as the challenges that GRUAN faces, and plans for overcoming these challenges.</w:t>
      </w:r>
    </w:p>
    <w:p w:rsidR="006B2F6F" w:rsidRPr="00B1416E" w:rsidRDefault="006B2F6F">
      <w:pPr>
        <w:rPr>
          <w:color w:val="000000" w:themeColor="text1"/>
        </w:rPr>
      </w:pPr>
    </w:p>
    <w:sectPr w:rsidR="006B2F6F" w:rsidRPr="00B1416E" w:rsidSect="0089231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384B"/>
    <w:multiLevelType w:val="hybridMultilevel"/>
    <w:tmpl w:val="C346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B1416E"/>
    <w:rsid w:val="006B2F6F"/>
    <w:rsid w:val="00892318"/>
    <w:rsid w:val="009253C1"/>
    <w:rsid w:val="00B1416E"/>
    <w:rsid w:val="00CA0375"/>
    <w:rsid w:val="00E579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1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141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1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1416E"/>
    <w:pPr>
      <w:ind w:left="720"/>
      <w:contextualSpacing/>
    </w:pPr>
  </w:style>
</w:styles>
</file>

<file path=word/webSettings.xml><?xml version="1.0" encoding="utf-8"?>
<w:webSettings xmlns:r="http://schemas.openxmlformats.org/officeDocument/2006/relationships" xmlns:w="http://schemas.openxmlformats.org/wordprocessingml/2006/main">
  <w:divs>
    <w:div w:id="410854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EUMETSAT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Dirksen</dc:creator>
  <cp:lastModifiedBy>Carina Movitz</cp:lastModifiedBy>
  <cp:revision>2</cp:revision>
  <dcterms:created xsi:type="dcterms:W3CDTF">2015-12-14T09:39:00Z</dcterms:created>
  <dcterms:modified xsi:type="dcterms:W3CDTF">2015-12-14T09:39:00Z</dcterms:modified>
</cp:coreProperties>
</file>